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11494" w14:textId="3E8C5D3B" w:rsidR="00DE7EFF" w:rsidRDefault="002F68A9">
      <w:pPr>
        <w:ind w:right="6240"/>
        <w:rPr>
          <w:sz w:val="2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 wp14:anchorId="10E11594" wp14:editId="29E1697E">
            <wp:extent cx="213360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11495" w14:textId="77777777" w:rsidR="00DE7EFF" w:rsidRDefault="00DE7EF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E7EFF" w14:paraId="10E1149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0E11496" w14:textId="7D35D664" w:rsidR="0085619D" w:rsidRDefault="0079408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BORDEREAU DES PRIX UNITAIRES</w:t>
            </w:r>
          </w:p>
        </w:tc>
      </w:tr>
    </w:tbl>
    <w:p w14:paraId="10E11498" w14:textId="77777777" w:rsidR="00DE7EFF" w:rsidRDefault="008668EA">
      <w:pPr>
        <w:spacing w:line="240" w:lineRule="exact"/>
      </w:pPr>
      <w:r>
        <w:t xml:space="preserve"> </w:t>
      </w:r>
    </w:p>
    <w:p w14:paraId="10E11499" w14:textId="77777777" w:rsidR="00DE7EFF" w:rsidRDefault="00DE7EFF">
      <w:pPr>
        <w:spacing w:after="120" w:line="240" w:lineRule="exact"/>
      </w:pPr>
    </w:p>
    <w:p w14:paraId="10E1149A" w14:textId="77777777" w:rsidR="00DE7EFF" w:rsidRDefault="008668E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070C1C34" w14:textId="77777777" w:rsidR="0081421A" w:rsidRDefault="0081421A" w:rsidP="0081421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proofErr w:type="spellStart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CCAG</w:t>
      </w:r>
      <w:proofErr w:type="spellEnd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 2021</w:t>
      </w:r>
    </w:p>
    <w:p w14:paraId="10E1149B" w14:textId="77777777" w:rsidR="00DE7EFF" w:rsidRDefault="00DE7EFF">
      <w:pPr>
        <w:spacing w:line="240" w:lineRule="exact"/>
      </w:pPr>
    </w:p>
    <w:p w14:paraId="10E1149C" w14:textId="77777777" w:rsidR="00DE7EFF" w:rsidRDefault="00DE7EFF">
      <w:pPr>
        <w:spacing w:line="240" w:lineRule="exact"/>
      </w:pPr>
    </w:p>
    <w:p w14:paraId="10E1149D" w14:textId="77777777" w:rsidR="00DE7EFF" w:rsidRDefault="00DE7EFF">
      <w:pPr>
        <w:spacing w:line="240" w:lineRule="exact"/>
      </w:pPr>
    </w:p>
    <w:p w14:paraId="10E1149E" w14:textId="77777777" w:rsidR="00DE7EFF" w:rsidRDefault="00DE7EFF">
      <w:pPr>
        <w:spacing w:line="240" w:lineRule="exact"/>
      </w:pPr>
    </w:p>
    <w:p w14:paraId="10E1149F" w14:textId="77777777" w:rsidR="00DE7EFF" w:rsidRDefault="00DE7EFF">
      <w:pPr>
        <w:spacing w:line="240" w:lineRule="exact"/>
      </w:pPr>
    </w:p>
    <w:p w14:paraId="10E114A0" w14:textId="77777777" w:rsidR="00DE7EFF" w:rsidRDefault="00DE7EFF">
      <w:pPr>
        <w:spacing w:line="240" w:lineRule="exact"/>
      </w:pPr>
    </w:p>
    <w:p w14:paraId="10E114A1" w14:textId="77777777" w:rsidR="00DE7EFF" w:rsidRDefault="00DE7EFF">
      <w:pPr>
        <w:spacing w:line="240" w:lineRule="exact"/>
      </w:pPr>
    </w:p>
    <w:p w14:paraId="10E114A2" w14:textId="77777777" w:rsidR="00DE7EFF" w:rsidRDefault="00DE7EF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E7EFF" w14:paraId="10E114A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5D15FCF" w14:textId="2095CE7E" w:rsidR="001422AB" w:rsidRDefault="008668E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UTI </w:t>
            </w:r>
            <w:r w:rsidR="00824BB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Marne</w:t>
            </w:r>
          </w:p>
          <w:p w14:paraId="10E114A3" w14:textId="30682147" w:rsidR="00DE7EFF" w:rsidRDefault="008668E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et livraison de fibre optique</w:t>
            </w:r>
          </w:p>
        </w:tc>
      </w:tr>
    </w:tbl>
    <w:p w14:paraId="10E114A5" w14:textId="77777777" w:rsidR="00DE7EFF" w:rsidRDefault="008668EA">
      <w:pPr>
        <w:spacing w:line="240" w:lineRule="exact"/>
      </w:pPr>
      <w:r>
        <w:t xml:space="preserve"> </w:t>
      </w:r>
    </w:p>
    <w:p w14:paraId="10E114A6" w14:textId="77777777" w:rsidR="00DE7EFF" w:rsidRDefault="00DE7EFF">
      <w:pPr>
        <w:spacing w:line="240" w:lineRule="exact"/>
      </w:pPr>
    </w:p>
    <w:p w14:paraId="10E114A7" w14:textId="77777777" w:rsidR="00DE7EFF" w:rsidRDefault="00DE7EFF">
      <w:pPr>
        <w:spacing w:line="240" w:lineRule="exact"/>
      </w:pPr>
    </w:p>
    <w:p w14:paraId="10E114A8" w14:textId="77777777" w:rsidR="00DE7EFF" w:rsidRDefault="00DE7EFF">
      <w:pPr>
        <w:spacing w:line="240" w:lineRule="exact"/>
      </w:pPr>
    </w:p>
    <w:p w14:paraId="10E114A9" w14:textId="77777777" w:rsidR="00DE7EFF" w:rsidRDefault="00DE7EFF">
      <w:pPr>
        <w:spacing w:line="240" w:lineRule="exact"/>
      </w:pPr>
    </w:p>
    <w:p w14:paraId="10E114AA" w14:textId="77777777" w:rsidR="00DE7EFF" w:rsidRDefault="00DE7EFF">
      <w:pPr>
        <w:spacing w:line="240" w:lineRule="exact"/>
      </w:pPr>
    </w:p>
    <w:p w14:paraId="10E114AB" w14:textId="77777777" w:rsidR="00DE7EFF" w:rsidRDefault="00DE7EFF">
      <w:pPr>
        <w:spacing w:line="240" w:lineRule="exact"/>
      </w:pPr>
    </w:p>
    <w:p w14:paraId="10E114AC" w14:textId="77777777" w:rsidR="00DE7EFF" w:rsidRDefault="00DE7EFF">
      <w:pPr>
        <w:spacing w:line="240" w:lineRule="exact"/>
      </w:pPr>
    </w:p>
    <w:p w14:paraId="10E114AD" w14:textId="77777777" w:rsidR="00DE7EFF" w:rsidRDefault="00DE7EFF">
      <w:pPr>
        <w:spacing w:line="240" w:lineRule="exact"/>
      </w:pPr>
    </w:p>
    <w:p w14:paraId="10E114AE" w14:textId="77777777" w:rsidR="00DE7EFF" w:rsidRDefault="00DE7EFF">
      <w:pPr>
        <w:spacing w:line="240" w:lineRule="exact"/>
      </w:pPr>
    </w:p>
    <w:p w14:paraId="10E114B0" w14:textId="77777777" w:rsidR="00DE7EFF" w:rsidRDefault="00DE7EFF">
      <w:pPr>
        <w:spacing w:line="240" w:lineRule="exact"/>
      </w:pPr>
    </w:p>
    <w:p w14:paraId="10E114B1" w14:textId="77777777" w:rsidR="00DE7EFF" w:rsidRDefault="00DE7EFF">
      <w:pPr>
        <w:spacing w:after="100" w:line="240" w:lineRule="exact"/>
      </w:pPr>
    </w:p>
    <w:p w14:paraId="58E2113E" w14:textId="77777777" w:rsidR="001C2787" w:rsidRPr="001C2787" w:rsidRDefault="001C2787" w:rsidP="001C2787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1C2787"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73BC6D28" w14:textId="77777777" w:rsidR="001C2787" w:rsidRPr="001C2787" w:rsidRDefault="001C2787" w:rsidP="001C2787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1C2787">
        <w:rPr>
          <w:rFonts w:ascii="Trebuchet MS" w:eastAsia="Trebuchet MS" w:hAnsi="Trebuchet MS" w:cs="Trebuchet MS"/>
          <w:b/>
          <w:color w:val="000000"/>
          <w:lang w:val="fr-FR"/>
        </w:rPr>
        <w:t>Direction Territoriale Bassin de la Seine et Loire Aval</w:t>
      </w:r>
    </w:p>
    <w:p w14:paraId="6BAD9583" w14:textId="0CD69783" w:rsidR="001C2787" w:rsidRDefault="001C2787" w:rsidP="00824BB5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1C2787">
        <w:rPr>
          <w:rFonts w:ascii="Trebuchet MS" w:eastAsia="Trebuchet MS" w:hAnsi="Trebuchet MS" w:cs="Trebuchet MS"/>
          <w:b/>
          <w:color w:val="000000"/>
          <w:lang w:val="fr-FR"/>
        </w:rPr>
        <w:t xml:space="preserve">Unité territoriale d'itinéraire </w:t>
      </w:r>
      <w:r w:rsidR="00824BB5">
        <w:rPr>
          <w:rFonts w:ascii="Trebuchet MS" w:eastAsia="Trebuchet MS" w:hAnsi="Trebuchet MS" w:cs="Trebuchet MS"/>
          <w:b/>
          <w:color w:val="000000"/>
          <w:lang w:val="fr-FR"/>
        </w:rPr>
        <w:t>Marne</w:t>
      </w:r>
    </w:p>
    <w:p w14:paraId="6C52BA22" w14:textId="346D4EEE" w:rsidR="00824BB5" w:rsidRPr="001C2787" w:rsidRDefault="00824BB5" w:rsidP="00824BB5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Rue de trinitaires, 77100 Meaux</w:t>
      </w:r>
    </w:p>
    <w:p w14:paraId="19E65A7A" w14:textId="77777777" w:rsidR="00DE7EFF" w:rsidRDefault="00DE7EF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3385F34" w14:textId="77777777" w:rsidR="001C2787" w:rsidRDefault="001C278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81E25D7" w14:textId="25C81AE5" w:rsidR="001C2787" w:rsidRDefault="009B32BF" w:rsidP="009B32BF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  <w:r w:rsidRPr="009B32BF">
        <w:rPr>
          <w:rFonts w:ascii="Trebuchet MS" w:eastAsia="Trebuchet MS" w:hAnsi="Trebuchet MS" w:cs="Trebuchet MS"/>
          <w:color w:val="000000"/>
          <w:lang w:val="fr-FR"/>
        </w:rPr>
        <w:t xml:space="preserve">Le présent bordereau des prix unitaires comporte </w:t>
      </w:r>
      <w:r w:rsidR="003A3225">
        <w:rPr>
          <w:rFonts w:ascii="Trebuchet MS" w:eastAsia="Trebuchet MS" w:hAnsi="Trebuchet MS" w:cs="Trebuchet MS"/>
          <w:b/>
          <w:bCs/>
          <w:color w:val="000000"/>
          <w:lang w:val="fr-FR"/>
        </w:rPr>
        <w:t>5</w:t>
      </w:r>
      <w:r w:rsidRPr="009B32BF">
        <w:rPr>
          <w:rFonts w:ascii="Trebuchet MS" w:eastAsia="Trebuchet MS" w:hAnsi="Trebuchet MS" w:cs="Trebuchet MS"/>
          <w:color w:val="000000"/>
          <w:lang w:val="fr-FR"/>
        </w:rPr>
        <w:t xml:space="preserve"> pages.</w:t>
      </w:r>
    </w:p>
    <w:p w14:paraId="15324530" w14:textId="77777777" w:rsidR="001C2787" w:rsidRDefault="001C278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0E114B6" w14:textId="77777777" w:rsidR="001C2787" w:rsidRDefault="001C278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C2787">
          <w:footerReference w:type="default" r:id="rId9"/>
          <w:pgSz w:w="11900" w:h="16840"/>
          <w:pgMar w:top="1400" w:right="1140" w:bottom="1440" w:left="1140" w:header="1400" w:footer="1440" w:gutter="0"/>
          <w:cols w:space="708"/>
        </w:sectPr>
      </w:pPr>
    </w:p>
    <w:p w14:paraId="10E11593" w14:textId="61BDA90D" w:rsidR="00DE7EFF" w:rsidRDefault="00DE7EFF" w:rsidP="000E42E1">
      <w:pPr>
        <w:pStyle w:val="style1010"/>
        <w:ind w:left="4800" w:right="20"/>
        <w:rPr>
          <w:color w:val="000000"/>
          <w:lang w:val="fr-FR"/>
        </w:rPr>
      </w:pPr>
    </w:p>
    <w:p w14:paraId="1EE4FCE1" w14:textId="77777777" w:rsidR="00782114" w:rsidRDefault="00782114" w:rsidP="000E42E1">
      <w:pPr>
        <w:pStyle w:val="style1010"/>
        <w:ind w:left="4800" w:right="20"/>
        <w:rPr>
          <w:color w:val="000000"/>
          <w:lang w:val="fr-FR"/>
        </w:rPr>
      </w:pPr>
    </w:p>
    <w:p w14:paraId="52D3BEE0" w14:textId="1147DA01" w:rsidR="00782114" w:rsidRPr="00620BB6" w:rsidRDefault="0036266C" w:rsidP="00084271">
      <w:pPr>
        <w:pStyle w:val="Titre2"/>
        <w:jc w:val="center"/>
        <w:rPr>
          <w:lang w:val="fr-FR"/>
        </w:rPr>
      </w:pPr>
      <w:r>
        <w:rPr>
          <w:lang w:val="fr-FR"/>
        </w:rPr>
        <w:t>Bordereau des Prix unitaires et forfaitaires (</w:t>
      </w:r>
      <w:proofErr w:type="spellStart"/>
      <w:r>
        <w:rPr>
          <w:lang w:val="fr-FR"/>
        </w:rPr>
        <w:t>BPU</w:t>
      </w:r>
      <w:proofErr w:type="spellEnd"/>
      <w:r>
        <w:rPr>
          <w:lang w:val="fr-FR"/>
        </w:rPr>
        <w:t>)</w:t>
      </w:r>
    </w:p>
    <w:p w14:paraId="0F4B3278" w14:textId="77777777" w:rsidR="00084271" w:rsidRPr="00620BB6" w:rsidRDefault="00084271" w:rsidP="00084271">
      <w:pPr>
        <w:rPr>
          <w:lang w:val="fr-FR"/>
        </w:rPr>
      </w:pPr>
    </w:p>
    <w:p w14:paraId="583D0C89" w14:textId="77777777" w:rsidR="00084271" w:rsidRPr="00620BB6" w:rsidRDefault="00084271" w:rsidP="00084271">
      <w:pPr>
        <w:rPr>
          <w:lang w:val="fr-FR"/>
        </w:rPr>
      </w:pPr>
    </w:p>
    <w:tbl>
      <w:tblPr>
        <w:tblW w:w="1016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2"/>
        <w:gridCol w:w="6089"/>
        <w:gridCol w:w="939"/>
        <w:gridCol w:w="1523"/>
      </w:tblGrid>
      <w:tr w:rsidR="0036266C" w:rsidRPr="00620BB6" w14:paraId="57E6D219" w14:textId="77777777" w:rsidTr="0036266C">
        <w:trPr>
          <w:trHeight w:val="991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8ADA" w14:textId="77777777" w:rsidR="0036266C" w:rsidRPr="00174553" w:rsidRDefault="0036266C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N° Prix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9401" w14:textId="77777777" w:rsidR="0036266C" w:rsidRPr="00174553" w:rsidRDefault="0036266C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Libellé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B6CA" w14:textId="77777777" w:rsidR="0036266C" w:rsidRPr="00174553" w:rsidRDefault="0036266C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Unité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F347" w14:textId="31F99F0B" w:rsidR="0036266C" w:rsidRPr="00174553" w:rsidRDefault="0036266C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Prix unitaire  € HT</w:t>
            </w:r>
          </w:p>
        </w:tc>
      </w:tr>
      <w:tr w:rsidR="0036266C" w:rsidRPr="00620BB6" w14:paraId="107A0EF3" w14:textId="77777777" w:rsidTr="0036266C">
        <w:trPr>
          <w:trHeight w:val="71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00E4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6D71" w14:textId="77777777" w:rsidR="0036266C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Fourniture de tourets de fibre optique</w:t>
            </w:r>
          </w:p>
          <w:p w14:paraId="788B17B8" w14:textId="3B133F86" w:rsidR="005E65E2" w:rsidRDefault="005E65E2" w:rsidP="005E65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à partir des éléments communiqués par le Maître d’</w:t>
            </w:r>
            <w:r w:rsidR="00271008">
              <w:rPr>
                <w:sz w:val="20"/>
                <w:szCs w:val="20"/>
              </w:rPr>
              <w:t>Œuvre</w:t>
            </w:r>
            <w:r>
              <w:rPr>
                <w:sz w:val="20"/>
                <w:szCs w:val="20"/>
              </w:rPr>
              <w:t xml:space="preserve">, dans les conditions définies au CCP, la fourniture de tourets de fibre optique. </w:t>
            </w:r>
          </w:p>
          <w:p w14:paraId="33044736" w14:textId="77777777" w:rsidR="00271008" w:rsidRDefault="00271008" w:rsidP="005E65E2">
            <w:pPr>
              <w:pStyle w:val="Default"/>
              <w:rPr>
                <w:sz w:val="20"/>
                <w:szCs w:val="20"/>
              </w:rPr>
            </w:pPr>
          </w:p>
          <w:p w14:paraId="0B19F851" w14:textId="77777777" w:rsidR="005E65E2" w:rsidRDefault="005E65E2" w:rsidP="005E65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 prix comprend notamment : </w:t>
            </w:r>
          </w:p>
          <w:p w14:paraId="7E57E24F" w14:textId="2B7D294D" w:rsidR="005E65E2" w:rsidRDefault="005E65E2" w:rsidP="005E65E2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Tous les frais matériels, personnels et consommables liés à la fourniture par le titulaire de touret de fibre optique suivant aux spécifications IEC 60793-2-50 et IEC 60794, fibre monomode </w:t>
            </w:r>
            <w:proofErr w:type="spellStart"/>
            <w:r>
              <w:rPr>
                <w:sz w:val="20"/>
                <w:szCs w:val="20"/>
              </w:rPr>
              <w:t>SMF</w:t>
            </w:r>
            <w:proofErr w:type="spellEnd"/>
            <w:r>
              <w:rPr>
                <w:sz w:val="20"/>
                <w:szCs w:val="20"/>
              </w:rPr>
              <w:t xml:space="preserve"> G652 D de catégorie B1 Silice/silice de 24 brins, suivant les spécifications du CCP ; </w:t>
            </w:r>
          </w:p>
          <w:p w14:paraId="0C91FB52" w14:textId="77777777" w:rsidR="005E65E2" w:rsidRDefault="005E65E2" w:rsidP="005E65E2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conditionnement sur touret(s) bois non consigné(s), avec un maximum en tourets de 4000 ml ; </w:t>
            </w:r>
          </w:p>
          <w:p w14:paraId="57632DC3" w14:textId="77777777" w:rsidR="005E65E2" w:rsidRDefault="005E65E2" w:rsidP="005E65E2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la</w:t>
            </w:r>
            <w:proofErr w:type="gramEnd"/>
            <w:r>
              <w:rPr>
                <w:sz w:val="20"/>
                <w:szCs w:val="20"/>
              </w:rPr>
              <w:t xml:space="preserve"> réalisation d’un emballage de protection soigné tout autour du/des tourets ; </w:t>
            </w:r>
          </w:p>
          <w:p w14:paraId="12DF7BCB" w14:textId="77777777" w:rsidR="005E65E2" w:rsidRDefault="005E65E2" w:rsidP="005E65E2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l’identification</w:t>
            </w:r>
            <w:proofErr w:type="gramEnd"/>
            <w:r>
              <w:rPr>
                <w:sz w:val="20"/>
                <w:szCs w:val="20"/>
              </w:rPr>
              <w:t xml:space="preserve"> de chaque touret, avec fiche individuelle reprenant les spécifications techniques du touret ; </w:t>
            </w:r>
          </w:p>
          <w:p w14:paraId="229CC814" w14:textId="77777777" w:rsidR="005E65E2" w:rsidRDefault="005E65E2" w:rsidP="005E65E2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la</w:t>
            </w:r>
            <w:proofErr w:type="gramEnd"/>
            <w:r>
              <w:rPr>
                <w:sz w:val="20"/>
                <w:szCs w:val="20"/>
              </w:rPr>
              <w:t xml:space="preserve"> réalisation des essais sur le touret et leur consignation dans un </w:t>
            </w:r>
            <w:proofErr w:type="spellStart"/>
            <w:r>
              <w:rPr>
                <w:sz w:val="20"/>
                <w:szCs w:val="20"/>
              </w:rPr>
              <w:t>procès verbal</w:t>
            </w:r>
            <w:proofErr w:type="spellEnd"/>
            <w:r>
              <w:rPr>
                <w:sz w:val="20"/>
                <w:szCs w:val="20"/>
              </w:rPr>
              <w:t xml:space="preserve"> de qualité indiquant notamment les résultats des contrôles par réflectométrie de l’ensemble des fibres du câble, aux longueurs d’onde 1550nm et 1310nm ; </w:t>
            </w:r>
          </w:p>
          <w:p w14:paraId="73B47CFB" w14:textId="77777777" w:rsidR="005E65E2" w:rsidRDefault="005E65E2" w:rsidP="005E65E2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y</w:t>
            </w:r>
            <w:proofErr w:type="gramEnd"/>
            <w:r>
              <w:rPr>
                <w:sz w:val="20"/>
                <w:szCs w:val="20"/>
              </w:rPr>
              <w:t xml:space="preserve"> compris toutes sujétions particulières. </w:t>
            </w:r>
          </w:p>
          <w:p w14:paraId="6E2BA197" w14:textId="77777777" w:rsidR="005E65E2" w:rsidRDefault="005E65E2" w:rsidP="005E65E2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41F38F8B" w14:textId="156F7DED" w:rsidR="0036266C" w:rsidRDefault="005E65E2" w:rsidP="005E65E2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MÈTRE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LINÉAIRE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EUROS HORS </w:t>
            </w:r>
            <w:proofErr w:type="spellStart"/>
            <w:r>
              <w:rPr>
                <w:sz w:val="20"/>
                <w:szCs w:val="20"/>
              </w:rPr>
              <w:t>TAXE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068A15AE" w14:textId="4D1408C6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Prix en lettres : _______________________________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686F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ml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08F9" w14:textId="3D59D1C4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6266C" w:rsidRPr="00620BB6" w14:paraId="4A98468A" w14:textId="77777777" w:rsidTr="0036266C">
        <w:trPr>
          <w:trHeight w:val="71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39E6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28AD" w14:textId="5AD42527" w:rsidR="0036266C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Livraison de 1 à 5 tourets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–</w:t>
            </w: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Amont</w:t>
            </w:r>
          </w:p>
          <w:p w14:paraId="51884F16" w14:textId="77777777" w:rsidR="00271008" w:rsidRDefault="00271008" w:rsidP="0027100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au forfait à partir des éléments communiqués par le Maître d’</w:t>
            </w:r>
            <w:proofErr w:type="spellStart"/>
            <w:r>
              <w:rPr>
                <w:sz w:val="20"/>
                <w:szCs w:val="20"/>
              </w:rPr>
              <w:t>OEuvre</w:t>
            </w:r>
            <w:proofErr w:type="spellEnd"/>
            <w:r>
              <w:rPr>
                <w:sz w:val="20"/>
                <w:szCs w:val="20"/>
              </w:rPr>
              <w:t xml:space="preserve">, dans les conditions définies au CCP, la livraison sur un site de </w:t>
            </w:r>
            <w:proofErr w:type="spellStart"/>
            <w:r>
              <w:rPr>
                <w:sz w:val="20"/>
                <w:szCs w:val="20"/>
              </w:rPr>
              <w:t>VNF</w:t>
            </w:r>
            <w:proofErr w:type="spellEnd"/>
            <w:r>
              <w:rPr>
                <w:sz w:val="20"/>
                <w:szCs w:val="20"/>
              </w:rPr>
              <w:t xml:space="preserve"> situé dans le département de l’Aisne (02) de 1 à 5 tourets. </w:t>
            </w:r>
          </w:p>
          <w:p w14:paraId="0D671FBD" w14:textId="77777777" w:rsidR="00271008" w:rsidRDefault="00271008" w:rsidP="00271008">
            <w:pPr>
              <w:pStyle w:val="Default"/>
              <w:rPr>
                <w:sz w:val="20"/>
                <w:szCs w:val="20"/>
              </w:rPr>
            </w:pPr>
          </w:p>
          <w:p w14:paraId="41DB18C3" w14:textId="6E59C41B" w:rsidR="0036266C" w:rsidRDefault="00271008" w:rsidP="0027100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 prix </w:t>
            </w:r>
            <w:proofErr w:type="spellStart"/>
            <w:r>
              <w:rPr>
                <w:sz w:val="20"/>
                <w:szCs w:val="20"/>
              </w:rPr>
              <w:t>comprend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notamment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</w:p>
          <w:p w14:paraId="7AB9D5C0" w14:textId="77777777" w:rsidR="0077744B" w:rsidRDefault="0077744B" w:rsidP="0077744B">
            <w:pPr>
              <w:pStyle w:val="Default"/>
              <w:rPr>
                <w:rFonts w:cs="Times New Roman"/>
                <w:color w:val="auto"/>
              </w:rPr>
            </w:pPr>
          </w:p>
          <w:p w14:paraId="464A1665" w14:textId="71E97268" w:rsidR="0077744B" w:rsidRDefault="0077744B" w:rsidP="0077744B">
            <w:pPr>
              <w:pStyle w:val="Defaul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participation du transporteur à l’établissement d’un protocole de chargement / déchargement ; </w:t>
            </w:r>
          </w:p>
          <w:p w14:paraId="6952227E" w14:textId="22338F49" w:rsidR="0077744B" w:rsidRDefault="0077744B" w:rsidP="0077744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Tous les frais matériels, personnels et consommables liés à la programmation de la livraison, la livraison et le déchargement des tourets sur le site de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VNF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 ; </w:t>
            </w:r>
          </w:p>
          <w:p w14:paraId="33E3C797" w14:textId="779914C2" w:rsidR="0077744B" w:rsidRDefault="0077744B" w:rsidP="0077744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Y compris toutes les sujétions particulières.</w:t>
            </w:r>
          </w:p>
          <w:p w14:paraId="0B9ACACB" w14:textId="77777777" w:rsidR="0077744B" w:rsidRDefault="0077744B" w:rsidP="0077744B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  <w:p w14:paraId="2B77ECB4" w14:textId="15B184CA" w:rsidR="0077744B" w:rsidRDefault="0077744B" w:rsidP="0077744B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FORFAIT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EUROS HORS </w:t>
            </w:r>
            <w:proofErr w:type="spellStart"/>
            <w:r>
              <w:rPr>
                <w:sz w:val="20"/>
                <w:szCs w:val="20"/>
              </w:rPr>
              <w:t>TAXE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DB72B36" w14:textId="77777777" w:rsidR="0077744B" w:rsidRPr="0077744B" w:rsidRDefault="0077744B" w:rsidP="0077744B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  <w:p w14:paraId="4565FA2E" w14:textId="7644F3AA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Prix en lettres : _______________________________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9771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lastRenderedPageBreak/>
              <w:t>F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32AC" w14:textId="5786C06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6266C" w:rsidRPr="00620BB6" w14:paraId="562A30DE" w14:textId="77777777" w:rsidTr="0036266C">
        <w:trPr>
          <w:trHeight w:val="71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FF56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9E71" w14:textId="7AED96BF" w:rsidR="0036266C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Livraison de 6 à 10 tourets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–</w:t>
            </w: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A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mont</w:t>
            </w:r>
          </w:p>
          <w:p w14:paraId="70AA1A42" w14:textId="6FA08C0B" w:rsidR="00F304CC" w:rsidRDefault="00F304CC" w:rsidP="00F304C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au forfait à partir des éléments communiqués par le Maître d’</w:t>
            </w:r>
            <w:proofErr w:type="spellStart"/>
            <w:r>
              <w:rPr>
                <w:sz w:val="20"/>
                <w:szCs w:val="20"/>
              </w:rPr>
              <w:t>OEuvre</w:t>
            </w:r>
            <w:proofErr w:type="spellEnd"/>
            <w:r>
              <w:rPr>
                <w:sz w:val="20"/>
                <w:szCs w:val="20"/>
              </w:rPr>
              <w:t xml:space="preserve">, dans les conditions définies au CCP, la livraison sur un site de </w:t>
            </w:r>
            <w:proofErr w:type="spellStart"/>
            <w:r>
              <w:rPr>
                <w:sz w:val="20"/>
                <w:szCs w:val="20"/>
              </w:rPr>
              <w:t>VNF</w:t>
            </w:r>
            <w:proofErr w:type="spellEnd"/>
            <w:r>
              <w:rPr>
                <w:sz w:val="20"/>
                <w:szCs w:val="20"/>
              </w:rPr>
              <w:t xml:space="preserve"> situé dans le département de l’Aisne (02) de 6 à 10 tourets. </w:t>
            </w:r>
          </w:p>
          <w:p w14:paraId="48BE555B" w14:textId="77777777" w:rsidR="00F304CC" w:rsidRDefault="00F304CC" w:rsidP="00F304CC">
            <w:pPr>
              <w:pStyle w:val="Default"/>
              <w:rPr>
                <w:sz w:val="20"/>
                <w:szCs w:val="20"/>
              </w:rPr>
            </w:pPr>
          </w:p>
          <w:p w14:paraId="48DD55CE" w14:textId="77777777" w:rsidR="00F304CC" w:rsidRDefault="00F304CC" w:rsidP="00F304C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 prix </w:t>
            </w:r>
            <w:proofErr w:type="spellStart"/>
            <w:r>
              <w:rPr>
                <w:sz w:val="20"/>
                <w:szCs w:val="20"/>
              </w:rPr>
              <w:t>comprend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notamment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</w:p>
          <w:p w14:paraId="6E31A031" w14:textId="77777777" w:rsidR="00F304CC" w:rsidRDefault="00F304CC" w:rsidP="00F304CC">
            <w:pPr>
              <w:pStyle w:val="Default"/>
              <w:rPr>
                <w:rFonts w:cs="Times New Roman"/>
                <w:color w:val="auto"/>
              </w:rPr>
            </w:pPr>
          </w:p>
          <w:p w14:paraId="00DB6846" w14:textId="77777777" w:rsidR="00F304CC" w:rsidRDefault="00F304CC" w:rsidP="00F304CC">
            <w:pPr>
              <w:pStyle w:val="Defaul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participation du transporteur à l’établissement d’un protocole de chargement / déchargement ; </w:t>
            </w:r>
          </w:p>
          <w:p w14:paraId="7C3BEB44" w14:textId="77777777" w:rsidR="00F304CC" w:rsidRDefault="00F304CC" w:rsidP="00F304CC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Tous les frais matériels, personnels et consommables liés à la programmation de la livraison, la livraison et le déchargement des tourets sur le site de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VNF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 ; </w:t>
            </w:r>
          </w:p>
          <w:p w14:paraId="21BD857E" w14:textId="77777777" w:rsidR="00F304CC" w:rsidRDefault="00F304CC" w:rsidP="00F304CC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Y compris toutes les sujétions particulières.</w:t>
            </w:r>
          </w:p>
          <w:p w14:paraId="7E27AFF6" w14:textId="77777777" w:rsidR="0036266C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  <w:p w14:paraId="2364808D" w14:textId="77777777" w:rsidR="00F304CC" w:rsidRDefault="00F304CC" w:rsidP="00F304CC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FORFAIT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EUROS HORS </w:t>
            </w:r>
            <w:proofErr w:type="spellStart"/>
            <w:r>
              <w:rPr>
                <w:sz w:val="20"/>
                <w:szCs w:val="20"/>
              </w:rPr>
              <w:t>TAXE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31EE70A7" w14:textId="77777777" w:rsidR="00F304CC" w:rsidRDefault="00F304C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  <w:p w14:paraId="290E72F7" w14:textId="53965D76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Prix en lettres : _______________________________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36B6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771B" w14:textId="1E609C63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6266C" w:rsidRPr="00620BB6" w14:paraId="0109F995" w14:textId="77777777" w:rsidTr="0036266C">
        <w:trPr>
          <w:trHeight w:val="71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A15F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3BEF" w14:textId="181169BE" w:rsidR="0036266C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Livraison de 11 à 20 tourets </w:t>
            </w:r>
            <w:r w:rsidR="00D625B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–</w:t>
            </w: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A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mont</w:t>
            </w:r>
          </w:p>
          <w:p w14:paraId="775F89B2" w14:textId="603445BB" w:rsidR="00F304CC" w:rsidRDefault="00F304CC" w:rsidP="00F304C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au forfait à partir des éléments communiqués par le Maître d’</w:t>
            </w:r>
            <w:proofErr w:type="spellStart"/>
            <w:r>
              <w:rPr>
                <w:sz w:val="20"/>
                <w:szCs w:val="20"/>
              </w:rPr>
              <w:t>OEuvre</w:t>
            </w:r>
            <w:proofErr w:type="spellEnd"/>
            <w:r>
              <w:rPr>
                <w:sz w:val="20"/>
                <w:szCs w:val="20"/>
              </w:rPr>
              <w:t xml:space="preserve">, dans les conditions définies au CCP, la livraison sur un site de </w:t>
            </w:r>
            <w:proofErr w:type="spellStart"/>
            <w:r>
              <w:rPr>
                <w:sz w:val="20"/>
                <w:szCs w:val="20"/>
              </w:rPr>
              <w:t>VNF</w:t>
            </w:r>
            <w:proofErr w:type="spellEnd"/>
            <w:r>
              <w:rPr>
                <w:sz w:val="20"/>
                <w:szCs w:val="20"/>
              </w:rPr>
              <w:t xml:space="preserve"> situé dans le département de l’Aisne (02) de 11 à 20 tourets. </w:t>
            </w:r>
          </w:p>
          <w:p w14:paraId="27326AFA" w14:textId="77777777" w:rsidR="00F304CC" w:rsidRDefault="00F304CC" w:rsidP="00F304CC">
            <w:pPr>
              <w:pStyle w:val="Default"/>
              <w:rPr>
                <w:sz w:val="20"/>
                <w:szCs w:val="20"/>
              </w:rPr>
            </w:pPr>
          </w:p>
          <w:p w14:paraId="543EAF4B" w14:textId="77777777" w:rsidR="00F304CC" w:rsidRDefault="00F304CC" w:rsidP="00F304C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 prix </w:t>
            </w:r>
            <w:proofErr w:type="spellStart"/>
            <w:r>
              <w:rPr>
                <w:sz w:val="20"/>
                <w:szCs w:val="20"/>
              </w:rPr>
              <w:t>comprend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notamment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</w:p>
          <w:p w14:paraId="03D7AC1D" w14:textId="77777777" w:rsidR="00F304CC" w:rsidRDefault="00F304CC" w:rsidP="00F304CC">
            <w:pPr>
              <w:pStyle w:val="Default"/>
              <w:rPr>
                <w:rFonts w:cs="Times New Roman"/>
                <w:color w:val="auto"/>
              </w:rPr>
            </w:pPr>
          </w:p>
          <w:p w14:paraId="03F27C2D" w14:textId="77777777" w:rsidR="00F304CC" w:rsidRDefault="00F304CC" w:rsidP="00F304CC">
            <w:pPr>
              <w:pStyle w:val="Defaul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participation du transporteur à l’établissement d’un protocole de chargement / déchargement ; </w:t>
            </w:r>
          </w:p>
          <w:p w14:paraId="08928133" w14:textId="77777777" w:rsidR="00F304CC" w:rsidRDefault="00F304CC" w:rsidP="00F304CC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Tous les frais matériels, personnels et consommables liés à la programmation de la livraison, la livraison et le déchargement des tourets sur le site de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VNF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 ; </w:t>
            </w:r>
          </w:p>
          <w:p w14:paraId="77733380" w14:textId="77777777" w:rsidR="00F304CC" w:rsidRDefault="00F304CC" w:rsidP="00F304CC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Y compris toutes les sujétions particulières.</w:t>
            </w:r>
          </w:p>
          <w:p w14:paraId="23ED97AA" w14:textId="77777777" w:rsidR="00F304CC" w:rsidRDefault="00F304CC" w:rsidP="00F304C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7DAA8235" w14:textId="65D7D404" w:rsidR="00F304CC" w:rsidRDefault="00F304CC" w:rsidP="00F304CC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FORFAIT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EUROS HORS </w:t>
            </w:r>
            <w:proofErr w:type="spellStart"/>
            <w:r>
              <w:rPr>
                <w:sz w:val="20"/>
                <w:szCs w:val="20"/>
              </w:rPr>
              <w:t>TAXE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489F1E45" w14:textId="77777777" w:rsidR="00D625B0" w:rsidRDefault="00D625B0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  <w:p w14:paraId="72B8827D" w14:textId="1B592140" w:rsidR="00D625B0" w:rsidRPr="00174553" w:rsidRDefault="00D625B0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Prix en lettres : _______________________________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F278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CE9C" w14:textId="2060495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6266C" w:rsidRPr="00620BB6" w14:paraId="6030B2EB" w14:textId="77777777" w:rsidTr="0036266C">
        <w:trPr>
          <w:trHeight w:val="71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80A6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56B7" w14:textId="76179509" w:rsidR="0036266C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Livraison de 1 à 5 tourets </w:t>
            </w:r>
            <w:r w:rsidR="00D625B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–</w:t>
            </w: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Aval</w:t>
            </w:r>
          </w:p>
          <w:p w14:paraId="1452E687" w14:textId="1BD32F96" w:rsidR="00F304CC" w:rsidRDefault="00F304CC" w:rsidP="00F304C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au forfait à partir des éléments communiqués par le Maître d’</w:t>
            </w:r>
            <w:proofErr w:type="spellStart"/>
            <w:r>
              <w:rPr>
                <w:sz w:val="20"/>
                <w:szCs w:val="20"/>
              </w:rPr>
              <w:t>OEuvre</w:t>
            </w:r>
            <w:proofErr w:type="spellEnd"/>
            <w:r>
              <w:rPr>
                <w:sz w:val="20"/>
                <w:szCs w:val="20"/>
              </w:rPr>
              <w:t xml:space="preserve">, dans les conditions définies au CCP, la livraison sur un site de </w:t>
            </w:r>
            <w:proofErr w:type="spellStart"/>
            <w:r>
              <w:rPr>
                <w:sz w:val="20"/>
                <w:szCs w:val="20"/>
              </w:rPr>
              <w:t>VNF</w:t>
            </w:r>
            <w:proofErr w:type="spellEnd"/>
            <w:r>
              <w:rPr>
                <w:sz w:val="20"/>
                <w:szCs w:val="20"/>
              </w:rPr>
              <w:t xml:space="preserve"> situé dans le département de la Seine et Marne (77) de 1 à 5 tourets. </w:t>
            </w:r>
          </w:p>
          <w:p w14:paraId="4B628E34" w14:textId="77777777" w:rsidR="00F304CC" w:rsidRDefault="00F304CC" w:rsidP="00F304CC">
            <w:pPr>
              <w:pStyle w:val="Default"/>
              <w:rPr>
                <w:sz w:val="20"/>
                <w:szCs w:val="20"/>
              </w:rPr>
            </w:pPr>
          </w:p>
          <w:p w14:paraId="1EF62D78" w14:textId="77777777" w:rsidR="00F304CC" w:rsidRDefault="00F304CC" w:rsidP="00F304C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Ce prix </w:t>
            </w:r>
            <w:proofErr w:type="spellStart"/>
            <w:r>
              <w:rPr>
                <w:sz w:val="20"/>
                <w:szCs w:val="20"/>
              </w:rPr>
              <w:t>comprend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notamment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</w:p>
          <w:p w14:paraId="653B207F" w14:textId="77777777" w:rsidR="00F304CC" w:rsidRDefault="00F304CC" w:rsidP="00F304CC">
            <w:pPr>
              <w:pStyle w:val="Default"/>
              <w:rPr>
                <w:rFonts w:cs="Times New Roman"/>
                <w:color w:val="auto"/>
              </w:rPr>
            </w:pPr>
          </w:p>
          <w:p w14:paraId="285A820D" w14:textId="77777777" w:rsidR="00F304CC" w:rsidRDefault="00F304CC" w:rsidP="00F304CC">
            <w:pPr>
              <w:pStyle w:val="Defaul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participation du transporteur à l’établissement d’un protocole de chargement / déchargement ; </w:t>
            </w:r>
          </w:p>
          <w:p w14:paraId="333C055D" w14:textId="77777777" w:rsidR="00F304CC" w:rsidRDefault="00F304CC" w:rsidP="00F304CC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Tous les frais matériels, personnels et consommables liés à la programmation de la livraison, la livraison et le déchargement des tourets sur le site de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VNF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 ; </w:t>
            </w:r>
          </w:p>
          <w:p w14:paraId="20A6960E" w14:textId="77777777" w:rsidR="00F304CC" w:rsidRDefault="00F304CC" w:rsidP="00F304CC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Y compris toutes les sujétions particulières.</w:t>
            </w:r>
          </w:p>
          <w:p w14:paraId="31D765B0" w14:textId="77777777" w:rsidR="00F304CC" w:rsidRDefault="00F304CC" w:rsidP="00F304C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5BCE5430" w14:textId="6804570C" w:rsidR="00D625B0" w:rsidRDefault="00F304CC" w:rsidP="003A3225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FORFAIT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EUROS HORS </w:t>
            </w:r>
            <w:proofErr w:type="spellStart"/>
            <w:r>
              <w:rPr>
                <w:sz w:val="20"/>
                <w:szCs w:val="20"/>
              </w:rPr>
              <w:t>TAXE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012D9227" w14:textId="77777777" w:rsidR="00D625B0" w:rsidRDefault="00D625B0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  <w:p w14:paraId="1F2C5100" w14:textId="4C4C89A8" w:rsidR="00D625B0" w:rsidRPr="00174553" w:rsidRDefault="00D625B0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Prix en lettres : _______________________________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3336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lastRenderedPageBreak/>
              <w:t>F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8754" w14:textId="3EDBE6F4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6266C" w:rsidRPr="00620BB6" w14:paraId="37E81D28" w14:textId="77777777" w:rsidTr="0036266C">
        <w:trPr>
          <w:trHeight w:val="71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D0DD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F720" w14:textId="639D0882" w:rsidR="0036266C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Livraison de 6 à 10 tourets </w:t>
            </w:r>
            <w:r w:rsidR="00D625B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–</w:t>
            </w: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Aval</w:t>
            </w:r>
          </w:p>
          <w:p w14:paraId="1984C431" w14:textId="77FE0B4C" w:rsidR="003A3225" w:rsidRDefault="003A3225" w:rsidP="003A32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au forfait à partir des éléments communiqués par le Maître d’</w:t>
            </w:r>
            <w:proofErr w:type="spellStart"/>
            <w:r>
              <w:rPr>
                <w:sz w:val="20"/>
                <w:szCs w:val="20"/>
              </w:rPr>
              <w:t>OEuvre</w:t>
            </w:r>
            <w:proofErr w:type="spellEnd"/>
            <w:r>
              <w:rPr>
                <w:sz w:val="20"/>
                <w:szCs w:val="20"/>
              </w:rPr>
              <w:t xml:space="preserve">, dans les conditions définies au CCP, la livraison sur un site de </w:t>
            </w:r>
            <w:proofErr w:type="spellStart"/>
            <w:r>
              <w:rPr>
                <w:sz w:val="20"/>
                <w:szCs w:val="20"/>
              </w:rPr>
              <w:t>VNF</w:t>
            </w:r>
            <w:proofErr w:type="spellEnd"/>
            <w:r>
              <w:rPr>
                <w:sz w:val="20"/>
                <w:szCs w:val="20"/>
              </w:rPr>
              <w:t xml:space="preserve"> situé dans le département de la Seine et Marne (77) de 6 à 10 tourets. </w:t>
            </w:r>
          </w:p>
          <w:p w14:paraId="15675C34" w14:textId="77777777" w:rsidR="003A3225" w:rsidRDefault="003A3225" w:rsidP="003A3225">
            <w:pPr>
              <w:pStyle w:val="Default"/>
              <w:rPr>
                <w:sz w:val="20"/>
                <w:szCs w:val="20"/>
              </w:rPr>
            </w:pPr>
          </w:p>
          <w:p w14:paraId="3948E68C" w14:textId="77777777" w:rsidR="003A3225" w:rsidRDefault="003A3225" w:rsidP="003A322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 prix </w:t>
            </w:r>
            <w:proofErr w:type="spellStart"/>
            <w:r>
              <w:rPr>
                <w:sz w:val="20"/>
                <w:szCs w:val="20"/>
              </w:rPr>
              <w:t>comprend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notamment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</w:p>
          <w:p w14:paraId="3CC1506B" w14:textId="77777777" w:rsidR="003A3225" w:rsidRDefault="003A3225" w:rsidP="003A3225">
            <w:pPr>
              <w:pStyle w:val="Default"/>
              <w:rPr>
                <w:rFonts w:cs="Times New Roman"/>
                <w:color w:val="auto"/>
              </w:rPr>
            </w:pPr>
          </w:p>
          <w:p w14:paraId="5F36DE41" w14:textId="77777777" w:rsidR="003A3225" w:rsidRDefault="003A3225" w:rsidP="003A3225">
            <w:pPr>
              <w:pStyle w:val="Defaul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participation du transporteur à l’établissement d’un protocole de chargement / déchargement ; </w:t>
            </w:r>
          </w:p>
          <w:p w14:paraId="56F94518" w14:textId="77777777" w:rsidR="003A3225" w:rsidRDefault="003A3225" w:rsidP="003A3225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Tous les frais matériels, personnels et consommables liés à la programmation de la livraison, la livraison et le déchargement des tourets sur le site de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VNF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 ; </w:t>
            </w:r>
          </w:p>
          <w:p w14:paraId="33DC8F9F" w14:textId="77777777" w:rsidR="003A3225" w:rsidRDefault="003A3225" w:rsidP="003A3225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Y compris toutes les sujétions particulières.</w:t>
            </w:r>
          </w:p>
          <w:p w14:paraId="2F7EA1CD" w14:textId="77777777" w:rsidR="003A3225" w:rsidRDefault="003A3225" w:rsidP="003A322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2812038D" w14:textId="77777777" w:rsidR="003A3225" w:rsidRDefault="003A3225" w:rsidP="003A3225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FORFAIT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EUROS HORS </w:t>
            </w:r>
            <w:proofErr w:type="spellStart"/>
            <w:r>
              <w:rPr>
                <w:sz w:val="20"/>
                <w:szCs w:val="20"/>
              </w:rPr>
              <w:t>TAXE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7346122F" w14:textId="77777777" w:rsidR="00D625B0" w:rsidRDefault="00D625B0" w:rsidP="003A3225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  <w:p w14:paraId="68F592E9" w14:textId="6234882A" w:rsidR="00D625B0" w:rsidRPr="00174553" w:rsidRDefault="00D625B0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Prix en lettres : _______________________________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F2AD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016C" w14:textId="2188FE3C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6266C" w:rsidRPr="00620BB6" w14:paraId="5B2CC3CF" w14:textId="77777777" w:rsidTr="0036266C">
        <w:trPr>
          <w:trHeight w:val="71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699C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8886" w14:textId="2EF5BEA7" w:rsidR="0036266C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Livraison de 11 à 20 tourets </w:t>
            </w:r>
            <w:r w:rsidR="00D625B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–</w:t>
            </w: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Aval</w:t>
            </w:r>
          </w:p>
          <w:p w14:paraId="098C4BB1" w14:textId="4DA34EF1" w:rsidR="003A3225" w:rsidRDefault="003A3225" w:rsidP="003A32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 prix rémunère au forfait à partir des éléments communiqués par le Maître d’Œuvre, dans les conditions définies au CCP, la livraison sur un site de </w:t>
            </w:r>
            <w:proofErr w:type="spellStart"/>
            <w:r>
              <w:rPr>
                <w:sz w:val="20"/>
                <w:szCs w:val="20"/>
              </w:rPr>
              <w:t>VNF</w:t>
            </w:r>
            <w:proofErr w:type="spellEnd"/>
            <w:r>
              <w:rPr>
                <w:sz w:val="20"/>
                <w:szCs w:val="20"/>
              </w:rPr>
              <w:t xml:space="preserve"> situé dans le département de la Seine et Marne (77) de 11 à 20 tourets. </w:t>
            </w:r>
          </w:p>
          <w:p w14:paraId="66408117" w14:textId="77777777" w:rsidR="003A3225" w:rsidRDefault="003A3225" w:rsidP="003A3225">
            <w:pPr>
              <w:pStyle w:val="Default"/>
              <w:rPr>
                <w:sz w:val="20"/>
                <w:szCs w:val="20"/>
              </w:rPr>
            </w:pPr>
          </w:p>
          <w:p w14:paraId="53A54D9C" w14:textId="77777777" w:rsidR="003A3225" w:rsidRDefault="003A3225" w:rsidP="003A322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 prix </w:t>
            </w:r>
            <w:proofErr w:type="spellStart"/>
            <w:r>
              <w:rPr>
                <w:sz w:val="20"/>
                <w:szCs w:val="20"/>
              </w:rPr>
              <w:t>comprend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notamment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</w:p>
          <w:p w14:paraId="079F35FD" w14:textId="77777777" w:rsidR="003A3225" w:rsidRDefault="003A3225" w:rsidP="003A3225">
            <w:pPr>
              <w:pStyle w:val="Default"/>
              <w:rPr>
                <w:rFonts w:cs="Times New Roman"/>
                <w:color w:val="auto"/>
              </w:rPr>
            </w:pPr>
          </w:p>
          <w:p w14:paraId="01E6D5FF" w14:textId="77777777" w:rsidR="003A3225" w:rsidRDefault="003A3225" w:rsidP="003A3225">
            <w:pPr>
              <w:pStyle w:val="Defaul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participation du transporteur à l’établissement d’un protocole de chargement / déchargement ; </w:t>
            </w:r>
          </w:p>
          <w:p w14:paraId="0FAC5C20" w14:textId="77777777" w:rsidR="003A3225" w:rsidRDefault="003A3225" w:rsidP="003A3225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Tous les frais matériels, personnels et consommables liés à la programmation de la livraison, la livraison et le déchargement des tourets sur le site de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VNF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 ; </w:t>
            </w:r>
          </w:p>
          <w:p w14:paraId="6256EBDA" w14:textId="77777777" w:rsidR="003A3225" w:rsidRDefault="003A3225" w:rsidP="003A3225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lastRenderedPageBreak/>
              <w:t>Y compris toutes les sujétions particulières.</w:t>
            </w:r>
          </w:p>
          <w:p w14:paraId="3BA2EBD4" w14:textId="77777777" w:rsidR="003A3225" w:rsidRDefault="003A3225" w:rsidP="003A322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743DF17D" w14:textId="77777777" w:rsidR="003A3225" w:rsidRDefault="003A3225" w:rsidP="003A3225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FORFAIT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EUROS HORS </w:t>
            </w:r>
            <w:proofErr w:type="spellStart"/>
            <w:r>
              <w:rPr>
                <w:sz w:val="20"/>
                <w:szCs w:val="20"/>
              </w:rPr>
              <w:t>TAXE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64501993" w14:textId="77777777" w:rsidR="00D625B0" w:rsidRDefault="00D625B0" w:rsidP="003A3225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  <w:p w14:paraId="23E77CF6" w14:textId="6FF21376" w:rsidR="00D625B0" w:rsidRPr="00174553" w:rsidRDefault="00D625B0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Prix en lettres : _______________________________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A371" w14:textId="7777777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lastRenderedPageBreak/>
              <w:t>F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90D9" w14:textId="25FD76F7" w:rsidR="0036266C" w:rsidRPr="00174553" w:rsidRDefault="0036266C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6266C" w:rsidRPr="00620BB6" w14:paraId="39BE8E6C" w14:textId="77777777" w:rsidTr="0036266C">
        <w:trPr>
          <w:trHeight w:val="330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C52C" w14:textId="77777777" w:rsidR="0036266C" w:rsidRPr="00174553" w:rsidRDefault="003626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6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152F" w14:textId="77777777" w:rsidR="0036266C" w:rsidRPr="00174553" w:rsidRDefault="0036266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6AA4" w14:textId="77777777" w:rsidR="0036266C" w:rsidRPr="00174553" w:rsidRDefault="0036266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E366" w14:textId="77777777" w:rsidR="0036266C" w:rsidRPr="00174553" w:rsidRDefault="0036266C">
            <w:pPr>
              <w:rPr>
                <w:sz w:val="20"/>
                <w:szCs w:val="20"/>
                <w:lang w:val="fr-FR"/>
              </w:rPr>
            </w:pPr>
          </w:p>
        </w:tc>
      </w:tr>
      <w:tr w:rsidR="0036266C" w:rsidRPr="00620BB6" w14:paraId="05F337CC" w14:textId="77777777" w:rsidTr="0036266C">
        <w:trPr>
          <w:trHeight w:val="330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93FA" w14:textId="77777777" w:rsidR="0036266C" w:rsidRPr="00174553" w:rsidRDefault="003626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6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CA9F" w14:textId="77777777" w:rsidR="0036266C" w:rsidRPr="00174553" w:rsidRDefault="0036266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DF5A" w14:textId="77777777" w:rsidR="0036266C" w:rsidRPr="00174553" w:rsidRDefault="0036266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A1D34" w14:textId="77777777" w:rsidR="0036266C" w:rsidRPr="00174553" w:rsidRDefault="0036266C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25C8EA8D" w14:textId="77777777" w:rsidR="00782114" w:rsidRPr="00620BB6" w:rsidRDefault="00782114" w:rsidP="000E42E1">
      <w:pPr>
        <w:pStyle w:val="style1010"/>
        <w:ind w:left="4800" w:right="20"/>
        <w:rPr>
          <w:color w:val="000000"/>
          <w:lang w:val="fr-FR"/>
        </w:rPr>
      </w:pPr>
    </w:p>
    <w:p w14:paraId="16452AD5" w14:textId="77777777" w:rsidR="00782114" w:rsidRPr="00620BB6" w:rsidRDefault="00782114" w:rsidP="000E42E1">
      <w:pPr>
        <w:pStyle w:val="style1010"/>
        <w:ind w:left="4800" w:right="20"/>
        <w:rPr>
          <w:color w:val="000000"/>
          <w:lang w:val="fr-FR"/>
        </w:rPr>
      </w:pPr>
    </w:p>
    <w:p w14:paraId="7F7F9CB0" w14:textId="77777777" w:rsidR="00782114" w:rsidRPr="00494504" w:rsidRDefault="00782114" w:rsidP="000E42E1">
      <w:pPr>
        <w:pStyle w:val="style1010"/>
        <w:ind w:left="4800" w:right="20"/>
        <w:rPr>
          <w:color w:val="000000"/>
          <w:lang w:val="fr-FR"/>
        </w:rPr>
      </w:pPr>
    </w:p>
    <w:sectPr w:rsidR="00782114" w:rsidRPr="00494504">
      <w:footerReference w:type="default" r:id="rId10"/>
      <w:pgSz w:w="11900" w:h="16840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72E46" w14:textId="77777777" w:rsidR="00627062" w:rsidRDefault="00627062">
      <w:r>
        <w:separator/>
      </w:r>
    </w:p>
  </w:endnote>
  <w:endnote w:type="continuationSeparator" w:id="0">
    <w:p w14:paraId="3A008254" w14:textId="77777777" w:rsidR="00627062" w:rsidRDefault="00627062">
      <w:r>
        <w:continuationSeparator/>
      </w:r>
    </w:p>
  </w:endnote>
  <w:endnote w:type="continuationNotice" w:id="1">
    <w:p w14:paraId="22AE72DA" w14:textId="77777777" w:rsidR="00627062" w:rsidRDefault="006270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400" w:type="dxa"/>
      <w:tblInd w:w="5872" w:type="dxa"/>
      <w:tblLayout w:type="fixed"/>
      <w:tblLook w:val="04A0" w:firstRow="1" w:lastRow="0" w:firstColumn="1" w:lastColumn="0" w:noHBand="0" w:noVBand="1"/>
    </w:tblPr>
    <w:tblGrid>
      <w:gridCol w:w="4400"/>
    </w:tblGrid>
    <w:tr w:rsidR="00416953" w14:paraId="3496EA7E" w14:textId="77777777" w:rsidTr="00B3192D">
      <w:trPr>
        <w:trHeight w:val="245"/>
      </w:trPr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2DD024" w14:textId="651C51B6" w:rsidR="00416953" w:rsidRDefault="00416953" w:rsidP="004169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C3F99">
            <w:rPr>
              <w:noProof/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C3F99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3DD2C006" w14:textId="77777777" w:rsidR="00416953" w:rsidRPr="00416953" w:rsidRDefault="00416953" w:rsidP="00B3192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115AD" w14:textId="77777777" w:rsidR="00DE7EFF" w:rsidRDefault="00DE7EF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7EFF" w14:paraId="10E115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115AE" w14:textId="78FFDA0B" w:rsidR="00DE7EFF" w:rsidRDefault="008668E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3A3225">
            <w:rPr>
              <w:color w:val="000000"/>
              <w:lang w:val="fr-FR"/>
            </w:rPr>
            <w:t>2025-UM-FO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115AF" w14:textId="21687D87" w:rsidR="00DE7EFF" w:rsidRDefault="008668E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C3F99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C3F99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8DF92" w14:textId="77777777" w:rsidR="00627062" w:rsidRDefault="00627062">
      <w:r>
        <w:separator/>
      </w:r>
    </w:p>
  </w:footnote>
  <w:footnote w:type="continuationSeparator" w:id="0">
    <w:p w14:paraId="32D15F03" w14:textId="77777777" w:rsidR="00627062" w:rsidRDefault="00627062">
      <w:r>
        <w:continuationSeparator/>
      </w:r>
    </w:p>
  </w:footnote>
  <w:footnote w:type="continuationNotice" w:id="1">
    <w:p w14:paraId="421BB769" w14:textId="77777777" w:rsidR="00627062" w:rsidRDefault="006270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2B7D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4418A4"/>
    <w:multiLevelType w:val="hybridMultilevel"/>
    <w:tmpl w:val="FEC2E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34224"/>
    <w:multiLevelType w:val="hybridMultilevel"/>
    <w:tmpl w:val="3072FE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A7EB4"/>
    <w:multiLevelType w:val="multilevel"/>
    <w:tmpl w:val="3B3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E81303"/>
    <w:multiLevelType w:val="multilevel"/>
    <w:tmpl w:val="1A9A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0A80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BDD225A"/>
    <w:multiLevelType w:val="hybridMultilevel"/>
    <w:tmpl w:val="32AE8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15400B"/>
    <w:multiLevelType w:val="hybridMultilevel"/>
    <w:tmpl w:val="C70482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EFF"/>
    <w:rsid w:val="00084271"/>
    <w:rsid w:val="00085434"/>
    <w:rsid w:val="0008600A"/>
    <w:rsid w:val="00097DC8"/>
    <w:rsid w:val="000B3453"/>
    <w:rsid w:val="000E42E1"/>
    <w:rsid w:val="00116253"/>
    <w:rsid w:val="001422AB"/>
    <w:rsid w:val="00174553"/>
    <w:rsid w:val="00182E6E"/>
    <w:rsid w:val="001B54D3"/>
    <w:rsid w:val="001C2787"/>
    <w:rsid w:val="001C3F99"/>
    <w:rsid w:val="001D70D2"/>
    <w:rsid w:val="002324E4"/>
    <w:rsid w:val="00262781"/>
    <w:rsid w:val="00271008"/>
    <w:rsid w:val="002F68A9"/>
    <w:rsid w:val="00311C2C"/>
    <w:rsid w:val="0035321E"/>
    <w:rsid w:val="0036266C"/>
    <w:rsid w:val="00363799"/>
    <w:rsid w:val="003A3225"/>
    <w:rsid w:val="003C5747"/>
    <w:rsid w:val="003C67E0"/>
    <w:rsid w:val="003D5794"/>
    <w:rsid w:val="003F618D"/>
    <w:rsid w:val="00416953"/>
    <w:rsid w:val="00445879"/>
    <w:rsid w:val="004707B8"/>
    <w:rsid w:val="00494504"/>
    <w:rsid w:val="004D126C"/>
    <w:rsid w:val="0050448E"/>
    <w:rsid w:val="00536375"/>
    <w:rsid w:val="00571CC5"/>
    <w:rsid w:val="00582AE7"/>
    <w:rsid w:val="005C76A6"/>
    <w:rsid w:val="005D26A9"/>
    <w:rsid w:val="005E65E2"/>
    <w:rsid w:val="005F0071"/>
    <w:rsid w:val="005F36FF"/>
    <w:rsid w:val="00620BB6"/>
    <w:rsid w:val="00627062"/>
    <w:rsid w:val="006312D1"/>
    <w:rsid w:val="00646313"/>
    <w:rsid w:val="00687520"/>
    <w:rsid w:val="0070794C"/>
    <w:rsid w:val="00714FB3"/>
    <w:rsid w:val="0077744B"/>
    <w:rsid w:val="00782114"/>
    <w:rsid w:val="00794080"/>
    <w:rsid w:val="007976AB"/>
    <w:rsid w:val="007D0B83"/>
    <w:rsid w:val="007D3DF3"/>
    <w:rsid w:val="008128E2"/>
    <w:rsid w:val="0081421A"/>
    <w:rsid w:val="00824BB5"/>
    <w:rsid w:val="0085619D"/>
    <w:rsid w:val="008668EA"/>
    <w:rsid w:val="008779E9"/>
    <w:rsid w:val="00881A58"/>
    <w:rsid w:val="008F5883"/>
    <w:rsid w:val="009129FD"/>
    <w:rsid w:val="00955D11"/>
    <w:rsid w:val="00976BF8"/>
    <w:rsid w:val="009B18DF"/>
    <w:rsid w:val="009B32BF"/>
    <w:rsid w:val="009E5D60"/>
    <w:rsid w:val="00A13360"/>
    <w:rsid w:val="00A61790"/>
    <w:rsid w:val="00A7124E"/>
    <w:rsid w:val="00AE52D5"/>
    <w:rsid w:val="00AF770D"/>
    <w:rsid w:val="00B163A8"/>
    <w:rsid w:val="00B3192D"/>
    <w:rsid w:val="00B425A1"/>
    <w:rsid w:val="00B6521B"/>
    <w:rsid w:val="00B741EB"/>
    <w:rsid w:val="00B77255"/>
    <w:rsid w:val="00BD4FEA"/>
    <w:rsid w:val="00BE6369"/>
    <w:rsid w:val="00C0089F"/>
    <w:rsid w:val="00CE2124"/>
    <w:rsid w:val="00D625B0"/>
    <w:rsid w:val="00D647C5"/>
    <w:rsid w:val="00DE7C67"/>
    <w:rsid w:val="00DE7EFF"/>
    <w:rsid w:val="00E32FB6"/>
    <w:rsid w:val="00EB7B1C"/>
    <w:rsid w:val="00F135E2"/>
    <w:rsid w:val="00F3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10E11494"/>
  <w15:docId w15:val="{7047D9CF-13F1-43FD-B377-9EE48AFD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225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1B54D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rsid w:val="000860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8600A"/>
    <w:rPr>
      <w:sz w:val="24"/>
      <w:szCs w:val="24"/>
    </w:rPr>
  </w:style>
  <w:style w:type="paragraph" w:styleId="Pieddepage0">
    <w:name w:val="footer"/>
    <w:basedOn w:val="Normal"/>
    <w:link w:val="PieddepageCar"/>
    <w:rsid w:val="000860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8600A"/>
    <w:rPr>
      <w:sz w:val="24"/>
      <w:szCs w:val="24"/>
    </w:rPr>
  </w:style>
  <w:style w:type="table" w:styleId="Grilledutableau">
    <w:name w:val="Table Grid"/>
    <w:basedOn w:val="TableauNormal"/>
    <w:rsid w:val="000E4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571CC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71CC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E65E2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  <w:style w:type="paragraph" w:styleId="Paragraphedeliste">
    <w:name w:val="List Paragraph"/>
    <w:basedOn w:val="Normal"/>
    <w:uiPriority w:val="34"/>
    <w:qFormat/>
    <w:rsid w:val="00777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95A8D-FAED-4D68-9600-B65DA491B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915</Words>
  <Characters>4847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TASSIN Stephane</dc:creator>
  <cp:lastModifiedBy>SIMITAMBE Anne</cp:lastModifiedBy>
  <cp:revision>4</cp:revision>
  <cp:lastPrinted>2026-01-23T09:30:00Z</cp:lastPrinted>
  <dcterms:created xsi:type="dcterms:W3CDTF">2025-10-21T14:16:00Z</dcterms:created>
  <dcterms:modified xsi:type="dcterms:W3CDTF">2026-01-23T09:31:00Z</dcterms:modified>
</cp:coreProperties>
</file>